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E51" w:rsidRPr="001E2E51" w:rsidRDefault="001E2E51" w:rsidP="001E2E51">
      <w:pPr>
        <w:spacing w:after="0" w:line="240" w:lineRule="auto"/>
        <w:ind w:firstLine="709"/>
        <w:jc w:val="both"/>
        <w:rPr>
          <w:rFonts w:ascii="Times New Roman" w:eastAsia="Times New Roman" w:hAnsi="Times New Roman"/>
          <w:b/>
          <w:color w:val="272727"/>
          <w:sz w:val="28"/>
          <w:szCs w:val="28"/>
          <w:lang w:eastAsia="ru-RU"/>
        </w:rPr>
      </w:pPr>
      <w:bookmarkStart w:id="0" w:name="_GoBack"/>
      <w:bookmarkEnd w:id="0"/>
      <w:r w:rsidRPr="001E2E51">
        <w:rPr>
          <w:rFonts w:ascii="Times New Roman" w:eastAsia="Times New Roman" w:hAnsi="Times New Roman"/>
          <w:b/>
          <w:color w:val="272727"/>
          <w:sz w:val="28"/>
          <w:szCs w:val="28"/>
          <w:lang w:eastAsia="ru-RU"/>
        </w:rPr>
        <w:t xml:space="preserve">Текст № 1. </w:t>
      </w:r>
      <w:proofErr w:type="spellStart"/>
      <w:r w:rsidRPr="001E2E51">
        <w:rPr>
          <w:rFonts w:ascii="Times New Roman" w:eastAsia="Times New Roman" w:hAnsi="Times New Roman"/>
          <w:b/>
          <w:color w:val="272727"/>
          <w:sz w:val="28"/>
          <w:szCs w:val="28"/>
          <w:lang w:eastAsia="ru-RU"/>
        </w:rPr>
        <w:t>Мэлс</w:t>
      </w:r>
      <w:proofErr w:type="spellEnd"/>
      <w:r w:rsidRPr="001E2E51">
        <w:rPr>
          <w:rFonts w:ascii="Times New Roman" w:eastAsia="Times New Roman" w:hAnsi="Times New Roman"/>
          <w:b/>
          <w:color w:val="272727"/>
          <w:sz w:val="28"/>
          <w:szCs w:val="28"/>
          <w:lang w:eastAsia="ru-RU"/>
        </w:rPr>
        <w:t xml:space="preserve"> Н.</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В городских условиях высота ферм пролетных строений, входящих в комплекс мостового перехода, как известно, определяется архитектурными соображениями.</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Расстояние между осями ферм в пролетных строениях с ездой поверху зависит от числа путей (у железнодорожных мостов), ширины проезжей части и тротуаров (у автодорожных и городских мостов), конструкции проезжей части, а также от требований, предъявляемых к устойчивости пролетных строений и жесткости в горизонтальной плоскости.</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При небольших пролетах мостов под однопутную железную дорогу (до 30–35 м) и при езде на деревянных, мостовых брусьях стандартных размеров, уложенных непосредственно на пояса ферм, минимальное расстояние между фермами может быть назначено таким же, как и у пролетных строений со сплошными стенками, т.е. 2,0–2,2 м.</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 xml:space="preserve">Однако верхние пояса ферм при этом будут работать в трудных условиях на сжатие и местный изгиб в связи с </w:t>
      </w:r>
      <w:proofErr w:type="spellStart"/>
      <w:r>
        <w:rPr>
          <w:rFonts w:ascii="Times New Roman" w:eastAsia="Times New Roman" w:hAnsi="Times New Roman"/>
          <w:color w:val="272727"/>
          <w:sz w:val="28"/>
          <w:szCs w:val="28"/>
          <w:lang w:eastAsia="ru-RU"/>
        </w:rPr>
        <w:t>внеузловым</w:t>
      </w:r>
      <w:proofErr w:type="spellEnd"/>
      <w:r>
        <w:rPr>
          <w:rFonts w:ascii="Times New Roman" w:eastAsia="Times New Roman" w:hAnsi="Times New Roman"/>
          <w:color w:val="272727"/>
          <w:sz w:val="28"/>
          <w:szCs w:val="28"/>
          <w:lang w:eastAsia="ru-RU"/>
        </w:rPr>
        <w:t xml:space="preserve"> приложением нагрузки.</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При пролетах более 35–40 м приходится увеличивать расстояние между фермами для обеспечения устойчивости пролетного строения и создания достаточной жесткости в горизонтальной плоскости. Обеспечить устойчивость можно, расположив, например, опорные части на более высоком уровне или применив опорные части, способные воспринимать отрицательные реакции.</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При расстоянии между фермами до 2,5 м можно применить деревянные мостовые брусья с увеличенной высотой. При большем расстоянии между фермами сечения деревянных брусьев оказываются непомерно большими.</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 xml:space="preserve">В этом случае пролетное строение снабжают балочной клеткой, состоящей из поперечных балок, прикрепленных в узлах главных ферм, и продольных балок, опирающихся </w:t>
      </w:r>
      <w:proofErr w:type="gramStart"/>
      <w:r>
        <w:rPr>
          <w:rFonts w:ascii="Times New Roman" w:eastAsia="Times New Roman" w:hAnsi="Times New Roman"/>
          <w:color w:val="272727"/>
          <w:sz w:val="28"/>
          <w:szCs w:val="28"/>
          <w:lang w:eastAsia="ru-RU"/>
        </w:rPr>
        <w:t>на</w:t>
      </w:r>
      <w:proofErr w:type="gramEnd"/>
      <w:r>
        <w:rPr>
          <w:rFonts w:ascii="Times New Roman" w:eastAsia="Times New Roman" w:hAnsi="Times New Roman"/>
          <w:color w:val="272727"/>
          <w:sz w:val="28"/>
          <w:szCs w:val="28"/>
          <w:lang w:eastAsia="ru-RU"/>
        </w:rPr>
        <w:t xml:space="preserve"> поперечные. </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Стандартные мостовые брусья укладываются на продольные балки, расстояние между которыми 1,9–2 м. В таком пролетном строении обеспечивается узловая передача вертикальной нагрузки на главные фермы, и пояса работают на осевые усилия.</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В условиях нашей страны с преобладающим равнинным характером рек для перекрытия русловых судоходных пролетов редко применяются пролетные строения с ездой поверху из–за их большой строительной высоты, от которой зависит общая высота моста и подходов к нему. Чаще используются пролетные строения с ездой понизу, отличающиеся малой строительной высотой.</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p>
    <w:p w:rsidR="001E2E51" w:rsidRPr="001E2E51" w:rsidRDefault="001E2E51" w:rsidP="001E2E51">
      <w:pPr>
        <w:spacing w:after="0" w:line="240" w:lineRule="auto"/>
        <w:ind w:firstLine="709"/>
        <w:jc w:val="both"/>
        <w:rPr>
          <w:rFonts w:ascii="Times New Roman" w:eastAsia="Times New Roman" w:hAnsi="Times New Roman"/>
          <w:b/>
          <w:color w:val="272727"/>
          <w:sz w:val="28"/>
          <w:szCs w:val="28"/>
          <w:lang w:eastAsia="ru-RU"/>
        </w:rPr>
      </w:pPr>
      <w:r w:rsidRPr="001E2E51">
        <w:rPr>
          <w:rFonts w:ascii="Times New Roman" w:eastAsia="Times New Roman" w:hAnsi="Times New Roman"/>
          <w:b/>
          <w:color w:val="272727"/>
          <w:sz w:val="28"/>
          <w:szCs w:val="28"/>
          <w:lang w:eastAsia="ru-RU"/>
        </w:rPr>
        <w:lastRenderedPageBreak/>
        <w:t xml:space="preserve">Текст № 2. </w:t>
      </w:r>
      <w:proofErr w:type="spellStart"/>
      <w:r w:rsidRPr="001E2E51">
        <w:rPr>
          <w:rFonts w:ascii="Times New Roman" w:eastAsia="Times New Roman" w:hAnsi="Times New Roman"/>
          <w:b/>
          <w:color w:val="272727"/>
          <w:sz w:val="28"/>
          <w:szCs w:val="28"/>
          <w:lang w:eastAsia="ru-RU"/>
        </w:rPr>
        <w:t>Сарсенгазиев</w:t>
      </w:r>
      <w:proofErr w:type="spellEnd"/>
      <w:r w:rsidRPr="001E2E51">
        <w:rPr>
          <w:rFonts w:ascii="Times New Roman" w:eastAsia="Times New Roman" w:hAnsi="Times New Roman"/>
          <w:b/>
          <w:color w:val="272727"/>
          <w:sz w:val="28"/>
          <w:szCs w:val="28"/>
          <w:lang w:eastAsia="ru-RU"/>
        </w:rPr>
        <w:t xml:space="preserve"> Т.</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У ферм этих пролетных строений целесообразно исключить концевые стойки и примыкающие к ним элементы верхних поясов, так как они не работают на вертикальную нагрузку. Очертание контура ферм в этом случае приобретает форму трапеции.</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Пролетное строение с ездой понизу под однопутную железную дорогу формируется из двух главных ферм, соединенных верхними и нижними продольными связями, промежуточными и опорными поперечными связями. Расстояние между осями ферм здесь приходится увеличивать до 5,6–5,8 м., чтобы фермы размещались вне пределов габарита приближения строений. При больших пролетах это расстояние также определяется требованиями обеспечения поперечной устойчивости и горизонтальной жесткости.</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Наименьшая высота главных ферм определяется из условий размещения верхних продольных и поперечных связей за пределами габарита приближения строений и составляет 7,5–8,0 м.</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 xml:space="preserve">В пролетном строении с ездой понизу, например, увеличиваются длины элементов продольных </w:t>
      </w:r>
      <w:proofErr w:type="gramStart"/>
      <w:r>
        <w:rPr>
          <w:rFonts w:ascii="Times New Roman" w:eastAsia="Times New Roman" w:hAnsi="Times New Roman"/>
          <w:color w:val="272727"/>
          <w:sz w:val="28"/>
          <w:szCs w:val="28"/>
          <w:lang w:eastAsia="ru-RU"/>
        </w:rPr>
        <w:t>связей</w:t>
      </w:r>
      <w:proofErr w:type="gramEnd"/>
      <w:r>
        <w:rPr>
          <w:rFonts w:ascii="Times New Roman" w:eastAsia="Times New Roman" w:hAnsi="Times New Roman"/>
          <w:color w:val="272727"/>
          <w:sz w:val="28"/>
          <w:szCs w:val="28"/>
          <w:lang w:eastAsia="ru-RU"/>
        </w:rPr>
        <w:t xml:space="preserve"> и усложняется устройство поперечных связей. Опорные поперечные связи обычно размещают в плоскостях крайних раскосов и формируют в виде жестких рам, называемых портальными.</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Промежуточные поперечные связи устраивают в плоскостях стоек или подвесок также в виде рам со сквозными или сплошными ригелями, расположенными выше габарита приближения строений.</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Продольные и поперечные балки проезжей части для сокращения строительной высоты обычно располагают в одном уровне.</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Продольные балки в пределах каждой панели представляют собой как бы небольшие пролетные строения. Они объединяются верхними продольными и промежуточными поперечными связями. Затрата металла на проезжую часть (продольные и поперечные балки) составляет существенную часть общего расхода металла на пролетное строение. Наименьший расход металла на балочную клетку с ездой на деревянных мостовых брусьях достигается при длине панели 5–6 м.</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В редких случаях, при небольших пролетах, высота главных ферм принималась менее 7,5–8,0 м. При этом исключается возможность установки верхних продольных связей.</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 xml:space="preserve">Для обеспечения поперечной жесткости открытых пролетных строений поперечные балки объединяют со стойками ферм в жесткие </w:t>
      </w:r>
      <w:proofErr w:type="spellStart"/>
      <w:r>
        <w:rPr>
          <w:rFonts w:ascii="Times New Roman" w:eastAsia="Times New Roman" w:hAnsi="Times New Roman"/>
          <w:color w:val="272727"/>
          <w:sz w:val="28"/>
          <w:szCs w:val="28"/>
          <w:lang w:eastAsia="ru-RU"/>
        </w:rPr>
        <w:t>полурамы</w:t>
      </w:r>
      <w:proofErr w:type="spellEnd"/>
      <w:r>
        <w:rPr>
          <w:rFonts w:ascii="Times New Roman" w:eastAsia="Times New Roman" w:hAnsi="Times New Roman"/>
          <w:color w:val="272727"/>
          <w:sz w:val="28"/>
          <w:szCs w:val="28"/>
          <w:lang w:eastAsia="ru-RU"/>
        </w:rPr>
        <w:t>, ригелями которых служат поперечные балки.</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 xml:space="preserve">Верхние пояса ферм таких пролетных строений работают в очень неблагоприятных условиях как сжатые стержни, упруго закрепленные в местах установки </w:t>
      </w:r>
      <w:proofErr w:type="spellStart"/>
      <w:r>
        <w:rPr>
          <w:rFonts w:ascii="Times New Roman" w:eastAsia="Times New Roman" w:hAnsi="Times New Roman"/>
          <w:color w:val="272727"/>
          <w:sz w:val="28"/>
          <w:szCs w:val="28"/>
          <w:lang w:eastAsia="ru-RU"/>
        </w:rPr>
        <w:t>полурам</w:t>
      </w:r>
      <w:proofErr w:type="spellEnd"/>
      <w:r>
        <w:rPr>
          <w:rFonts w:ascii="Times New Roman" w:eastAsia="Times New Roman" w:hAnsi="Times New Roman"/>
          <w:color w:val="272727"/>
          <w:sz w:val="28"/>
          <w:szCs w:val="28"/>
          <w:lang w:eastAsia="ru-RU"/>
        </w:rPr>
        <w:t xml:space="preserve">. При недостаточной жесткости </w:t>
      </w:r>
      <w:proofErr w:type="spellStart"/>
      <w:r>
        <w:rPr>
          <w:rFonts w:ascii="Times New Roman" w:eastAsia="Times New Roman" w:hAnsi="Times New Roman"/>
          <w:color w:val="272727"/>
          <w:sz w:val="28"/>
          <w:szCs w:val="28"/>
          <w:lang w:eastAsia="ru-RU"/>
        </w:rPr>
        <w:t>полурам</w:t>
      </w:r>
      <w:proofErr w:type="spellEnd"/>
      <w:r>
        <w:rPr>
          <w:rFonts w:ascii="Times New Roman" w:eastAsia="Times New Roman" w:hAnsi="Times New Roman"/>
          <w:color w:val="272727"/>
          <w:sz w:val="28"/>
          <w:szCs w:val="28"/>
          <w:lang w:eastAsia="ru-RU"/>
        </w:rPr>
        <w:t xml:space="preserve"> случались аварии подобных конструкций вследствие потери верхними поясами устойчивости.</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 xml:space="preserve">Пролетные строения железнодорожных мостов подвержены воздействию значительных тормозных сил. Тормозные силы приложены к продольным балкам и если балки не </w:t>
      </w:r>
      <w:proofErr w:type="gramStart"/>
      <w:r>
        <w:rPr>
          <w:rFonts w:ascii="Times New Roman" w:eastAsia="Times New Roman" w:hAnsi="Times New Roman"/>
          <w:color w:val="272727"/>
          <w:sz w:val="28"/>
          <w:szCs w:val="28"/>
          <w:lang w:eastAsia="ru-RU"/>
        </w:rPr>
        <w:t>закрепить</w:t>
      </w:r>
      <w:proofErr w:type="gramEnd"/>
      <w:r>
        <w:rPr>
          <w:rFonts w:ascii="Times New Roman" w:eastAsia="Times New Roman" w:hAnsi="Times New Roman"/>
          <w:color w:val="272727"/>
          <w:sz w:val="28"/>
          <w:szCs w:val="28"/>
          <w:lang w:eastAsia="ru-RU"/>
        </w:rPr>
        <w:t xml:space="preserve"> в продольном направлении, то </w:t>
      </w:r>
      <w:r>
        <w:rPr>
          <w:rFonts w:ascii="Times New Roman" w:eastAsia="Times New Roman" w:hAnsi="Times New Roman"/>
          <w:color w:val="272727"/>
          <w:sz w:val="28"/>
          <w:szCs w:val="28"/>
          <w:lang w:eastAsia="ru-RU"/>
        </w:rPr>
        <w:lastRenderedPageBreak/>
        <w:t>они будут смещаться вдоль пролета, изгибая поперечные балки в горизонтальной плоскости. Во избежание этого ставят специальные тормозные связи, прикрепляющие продольные балки к поясам главных ферм и передающие тормозные усилия с продольных балок в узлы главных ферм. Далее тормозные силы с поясов передаются на опоры через неподвижные опорные части.</w:t>
      </w:r>
    </w:p>
    <w:p w:rsidR="001E2E51" w:rsidRDefault="001E2E51" w:rsidP="001E2E51">
      <w:pPr>
        <w:spacing w:after="0" w:line="240" w:lineRule="auto"/>
        <w:ind w:firstLine="709"/>
        <w:jc w:val="both"/>
        <w:rPr>
          <w:rFonts w:ascii="Times New Roman" w:eastAsia="Times New Roman" w:hAnsi="Times New Roman"/>
          <w:color w:val="272727"/>
          <w:sz w:val="28"/>
          <w:szCs w:val="28"/>
          <w:lang w:eastAsia="ru-RU"/>
        </w:rPr>
      </w:pPr>
      <w:r>
        <w:rPr>
          <w:rFonts w:ascii="Times New Roman" w:eastAsia="Times New Roman" w:hAnsi="Times New Roman"/>
          <w:color w:val="272727"/>
          <w:sz w:val="28"/>
          <w:szCs w:val="28"/>
          <w:lang w:eastAsia="ru-RU"/>
        </w:rPr>
        <w:t>В многопролетных мостах на каждой промежуточной опоре под одно из пролетных строений обычно устанавливают неподвижные опорные части, а под другое – подвижные, чтобы равномернее распределить между опорами нагрузку от тормозных сил.</w:t>
      </w:r>
    </w:p>
    <w:p w:rsidR="001E2E51" w:rsidRDefault="001E2E51" w:rsidP="001E2E51"/>
    <w:p w:rsidR="00F07391" w:rsidRDefault="00307C42"/>
    <w:sectPr w:rsidR="00F073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2FA2"/>
    <w:rsid w:val="001E2E51"/>
    <w:rsid w:val="00307C42"/>
    <w:rsid w:val="006B00B5"/>
    <w:rsid w:val="00C41CCC"/>
    <w:rsid w:val="00D62F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E5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E5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827</Words>
  <Characters>4716</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2020-03-22T03:40:00Z</cp:lastPrinted>
  <dcterms:created xsi:type="dcterms:W3CDTF">2020-03-21T13:34:00Z</dcterms:created>
  <dcterms:modified xsi:type="dcterms:W3CDTF">2020-03-22T03:40:00Z</dcterms:modified>
</cp:coreProperties>
</file>